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0E" w:rsidRDefault="00953B0E" w:rsidP="00BD6204">
      <w:pPr>
        <w:pStyle w:val="Body1"/>
        <w:jc w:val="center"/>
        <w:rPr>
          <w:rFonts w:ascii="Calibri" w:hAnsi="Calibri" w:cs="Calibri"/>
          <w:b/>
          <w:sz w:val="32"/>
          <w:szCs w:val="32"/>
        </w:rPr>
      </w:pPr>
    </w:p>
    <w:p w:rsidR="00953B0E" w:rsidRDefault="00953B0E" w:rsidP="00BD6204">
      <w:pPr>
        <w:pStyle w:val="Body1"/>
        <w:jc w:val="center"/>
        <w:rPr>
          <w:rFonts w:ascii="Calibri" w:hAnsi="Calibri" w:cs="Calibri"/>
          <w:b/>
          <w:sz w:val="32"/>
          <w:szCs w:val="32"/>
        </w:rPr>
      </w:pPr>
    </w:p>
    <w:p w:rsidR="00BD6204" w:rsidRPr="00AF7277" w:rsidRDefault="00E90E82" w:rsidP="00BD6204">
      <w:pPr>
        <w:pStyle w:val="Body1"/>
        <w:jc w:val="center"/>
        <w:rPr>
          <w:rFonts w:ascii="Calibri" w:hAnsi="Calibri" w:cs="Calibri"/>
          <w:b/>
          <w:sz w:val="28"/>
          <w:szCs w:val="28"/>
        </w:rPr>
      </w:pPr>
      <w:r w:rsidRPr="00AF7277">
        <w:rPr>
          <w:rFonts w:ascii="Calibri" w:hAnsi="Calibri" w:cs="Calibri"/>
          <w:b/>
          <w:sz w:val="28"/>
          <w:szCs w:val="28"/>
        </w:rPr>
        <w:t>Guidelines for</w:t>
      </w:r>
      <w:r w:rsidR="00DD1B4B" w:rsidRPr="00AF7277">
        <w:rPr>
          <w:rFonts w:ascii="Calibri" w:hAnsi="Calibri" w:cs="Calibri"/>
          <w:b/>
          <w:sz w:val="28"/>
          <w:szCs w:val="28"/>
        </w:rPr>
        <w:t xml:space="preserve"> Distance Education</w:t>
      </w:r>
      <w:r w:rsidRPr="00AF7277">
        <w:rPr>
          <w:rFonts w:ascii="Calibri" w:hAnsi="Calibri" w:cs="Calibri"/>
          <w:b/>
          <w:sz w:val="28"/>
          <w:szCs w:val="28"/>
        </w:rPr>
        <w:t>: Teaching Assignments and</w:t>
      </w:r>
      <w:r w:rsidR="002D399A" w:rsidRPr="00AF7277">
        <w:rPr>
          <w:rFonts w:ascii="Calibri" w:hAnsi="Calibri" w:cs="Calibri"/>
          <w:b/>
          <w:sz w:val="28"/>
          <w:szCs w:val="28"/>
        </w:rPr>
        <w:t xml:space="preserve"> Distance Revenue Sharing</w:t>
      </w:r>
    </w:p>
    <w:p w:rsidR="00BD6204" w:rsidRDefault="00BD6204" w:rsidP="00BD6204">
      <w:pPr>
        <w:pStyle w:val="Body1"/>
        <w:rPr>
          <w:rFonts w:ascii="Calibri" w:hAnsi="Calibri" w:cs="Calibri"/>
          <w:szCs w:val="24"/>
        </w:rPr>
      </w:pPr>
    </w:p>
    <w:p w:rsidR="003176F1" w:rsidRDefault="003176F1" w:rsidP="00BD6204">
      <w:pPr>
        <w:pStyle w:val="Body1"/>
        <w:rPr>
          <w:rFonts w:ascii="Calibri" w:hAnsi="Calibri" w:cs="Calibri"/>
          <w:szCs w:val="24"/>
        </w:rPr>
      </w:pPr>
    </w:p>
    <w:p w:rsidR="00E90E82" w:rsidRPr="003176F1" w:rsidRDefault="00E90E82" w:rsidP="00E90E82">
      <w:pPr>
        <w:pStyle w:val="Body1"/>
        <w:jc w:val="both"/>
        <w:rPr>
          <w:rFonts w:ascii="Calibri" w:hAnsi="Calibri" w:cs="Calibri"/>
          <w:szCs w:val="24"/>
        </w:rPr>
      </w:pPr>
      <w:r w:rsidRPr="003176F1">
        <w:rPr>
          <w:rFonts w:ascii="Calibri" w:hAnsi="Calibri" w:cs="Calibri"/>
          <w:szCs w:val="24"/>
        </w:rPr>
        <w:t>The MSU Center for Distance Education (CDE) provides support for academic programs offered via distance. This support includes market analysis, marketing campaigns, online orientation for new distance students, assistance in the proctoring of tests, technical assistance in the use of the technology, etc. More details are available from CDE (</w:t>
      </w:r>
      <w:hyperlink r:id="rId8" w:history="1">
        <w:r w:rsidRPr="003176F1">
          <w:rPr>
            <w:rStyle w:val="Hyperlink"/>
            <w:rFonts w:ascii="Calibri" w:hAnsi="Calibri" w:cs="Calibri"/>
            <w:szCs w:val="24"/>
          </w:rPr>
          <w:t>www.distance.msstate.edu</w:t>
        </w:r>
      </w:hyperlink>
      <w:r w:rsidRPr="003176F1">
        <w:rPr>
          <w:rFonts w:ascii="Calibri" w:hAnsi="Calibri" w:cs="Calibri"/>
          <w:szCs w:val="24"/>
        </w:rPr>
        <w:t>). The responsibility for the academic programs lies with the departments and colleges offering those programs. The revenue generated by distance education is shared among the university, colleges, and departments following the model described below.</w:t>
      </w:r>
    </w:p>
    <w:p w:rsidR="00E90E82" w:rsidRPr="003176F1" w:rsidRDefault="00E90E82" w:rsidP="00E90E82">
      <w:pPr>
        <w:pStyle w:val="Body1"/>
        <w:jc w:val="both"/>
        <w:rPr>
          <w:rFonts w:ascii="Calibri" w:hAnsi="Calibri" w:cs="Calibri"/>
          <w:szCs w:val="24"/>
        </w:rPr>
      </w:pPr>
    </w:p>
    <w:p w:rsidR="002D399A" w:rsidRPr="000D0277" w:rsidRDefault="000D0277" w:rsidP="00CD6B3D">
      <w:pPr>
        <w:pStyle w:val="Body1"/>
        <w:jc w:val="both"/>
        <w:rPr>
          <w:rFonts w:ascii="Calibri" w:hAnsi="Calibri" w:cs="Calibri"/>
          <w:sz w:val="28"/>
          <w:szCs w:val="28"/>
        </w:rPr>
      </w:pPr>
      <w:r w:rsidRPr="000D0277">
        <w:rPr>
          <w:rFonts w:ascii="Calibri" w:hAnsi="Calibri" w:cs="Calibri"/>
          <w:b/>
          <w:sz w:val="28"/>
          <w:szCs w:val="28"/>
        </w:rPr>
        <w:t>Revenue Sharing</w:t>
      </w:r>
      <w:r w:rsidR="00BD6204" w:rsidRPr="000D0277">
        <w:rPr>
          <w:rFonts w:ascii="Calibri" w:hAnsi="Calibri" w:cs="Calibri"/>
          <w:b/>
          <w:sz w:val="28"/>
          <w:szCs w:val="28"/>
        </w:rPr>
        <w:t>:</w:t>
      </w:r>
      <w:r w:rsidR="00BD6204" w:rsidRPr="000D0277">
        <w:rPr>
          <w:rFonts w:ascii="Calibri" w:hAnsi="Calibri" w:cs="Calibri"/>
          <w:sz w:val="28"/>
          <w:szCs w:val="28"/>
        </w:rPr>
        <w:t xml:space="preserve"> </w:t>
      </w:r>
    </w:p>
    <w:p w:rsidR="002D399A" w:rsidRPr="002D399A" w:rsidRDefault="002D399A" w:rsidP="00CD6B3D">
      <w:pPr>
        <w:pStyle w:val="Body1"/>
        <w:ind w:left="360"/>
        <w:jc w:val="both"/>
        <w:rPr>
          <w:rFonts w:ascii="Calibri" w:hAnsi="Calibri" w:cs="Calibri"/>
          <w:b/>
          <w:szCs w:val="24"/>
        </w:rPr>
      </w:pPr>
      <w:r w:rsidRPr="002D399A">
        <w:rPr>
          <w:rFonts w:ascii="Calibri" w:hAnsi="Calibri" w:cs="Calibri"/>
          <w:b/>
          <w:szCs w:val="24"/>
        </w:rPr>
        <w:t>Distance Tuition</w:t>
      </w:r>
    </w:p>
    <w:p w:rsidR="007A38E9" w:rsidRPr="00E72C44" w:rsidRDefault="00CD6B3D" w:rsidP="00CD6B3D">
      <w:pPr>
        <w:pStyle w:val="Body1"/>
        <w:ind w:left="720"/>
        <w:jc w:val="both"/>
        <w:rPr>
          <w:rFonts w:ascii="Calibri" w:hAnsi="Calibri" w:cs="Calibri"/>
          <w:szCs w:val="24"/>
        </w:rPr>
      </w:pPr>
      <w:r w:rsidRPr="00CD6B3D">
        <w:rPr>
          <w:rFonts w:ascii="Calibri" w:hAnsi="Calibri" w:cs="Calibri"/>
          <w:color w:val="auto"/>
          <w:szCs w:val="24"/>
        </w:rPr>
        <w:t>Fifty-five percent (</w:t>
      </w:r>
      <w:r w:rsidR="002D399A" w:rsidRPr="00CD6B3D">
        <w:rPr>
          <w:rFonts w:ascii="Calibri" w:hAnsi="Calibri" w:cs="Calibri"/>
          <w:color w:val="auto"/>
          <w:szCs w:val="24"/>
        </w:rPr>
        <w:t>55%</w:t>
      </w:r>
      <w:r w:rsidRPr="00CD6B3D">
        <w:rPr>
          <w:rFonts w:ascii="Calibri" w:hAnsi="Calibri" w:cs="Calibri"/>
          <w:color w:val="auto"/>
          <w:szCs w:val="24"/>
        </w:rPr>
        <w:t>)</w:t>
      </w:r>
      <w:r w:rsidR="002D399A" w:rsidRPr="00CD6B3D">
        <w:rPr>
          <w:rFonts w:ascii="Calibri" w:hAnsi="Calibri" w:cs="Calibri"/>
          <w:color w:val="auto"/>
          <w:szCs w:val="24"/>
        </w:rPr>
        <w:t xml:space="preserve"> </w:t>
      </w:r>
      <w:r w:rsidR="002D399A">
        <w:rPr>
          <w:rFonts w:ascii="Calibri" w:hAnsi="Calibri" w:cs="Calibri"/>
          <w:szCs w:val="24"/>
        </w:rPr>
        <w:t xml:space="preserve">of </w:t>
      </w:r>
      <w:r>
        <w:rPr>
          <w:rFonts w:ascii="Calibri" w:hAnsi="Calibri" w:cs="Calibri"/>
          <w:szCs w:val="24"/>
        </w:rPr>
        <w:t xml:space="preserve">the tuition generated by courses offered via distance education (i.e., </w:t>
      </w:r>
      <w:r w:rsidR="002D399A">
        <w:rPr>
          <w:rFonts w:ascii="Calibri" w:hAnsi="Calibri" w:cs="Calibri"/>
          <w:szCs w:val="24"/>
        </w:rPr>
        <w:t>Campus 5</w:t>
      </w:r>
      <w:r>
        <w:rPr>
          <w:rFonts w:ascii="Calibri" w:hAnsi="Calibri" w:cs="Calibri"/>
          <w:szCs w:val="24"/>
        </w:rPr>
        <w:t>)</w:t>
      </w:r>
      <w:r w:rsidR="002D399A">
        <w:rPr>
          <w:rFonts w:ascii="Calibri" w:hAnsi="Calibri" w:cs="Calibri"/>
          <w:szCs w:val="24"/>
        </w:rPr>
        <w:t xml:space="preserve"> </w:t>
      </w:r>
      <w:r>
        <w:rPr>
          <w:rFonts w:ascii="Calibri" w:hAnsi="Calibri" w:cs="Calibri"/>
          <w:szCs w:val="24"/>
        </w:rPr>
        <w:t>is returned to the c</w:t>
      </w:r>
      <w:r w:rsidR="002D399A">
        <w:rPr>
          <w:rFonts w:ascii="Calibri" w:hAnsi="Calibri" w:cs="Calibri"/>
          <w:szCs w:val="24"/>
        </w:rPr>
        <w:t>olleges</w:t>
      </w:r>
      <w:r>
        <w:rPr>
          <w:rFonts w:ascii="Calibri" w:hAnsi="Calibri" w:cs="Calibri"/>
          <w:szCs w:val="24"/>
        </w:rPr>
        <w:t xml:space="preserve"> offering the courses</w:t>
      </w:r>
      <w:r w:rsidR="002D399A">
        <w:rPr>
          <w:rFonts w:ascii="Calibri" w:hAnsi="Calibri" w:cs="Calibri"/>
          <w:szCs w:val="24"/>
        </w:rPr>
        <w:t>.</w:t>
      </w:r>
      <w:r>
        <w:rPr>
          <w:rFonts w:ascii="Calibri" w:hAnsi="Calibri" w:cs="Calibri"/>
          <w:szCs w:val="24"/>
        </w:rPr>
        <w:t xml:space="preserve"> A college dean may choose to keep up to 10% of the tuition returned to the college, but must distribute at least 90% to the departments offering th</w:t>
      </w:r>
      <w:r w:rsidR="003176F1">
        <w:rPr>
          <w:rFonts w:ascii="Calibri" w:hAnsi="Calibri" w:cs="Calibri"/>
          <w:szCs w:val="24"/>
        </w:rPr>
        <w:t>e</w:t>
      </w:r>
      <w:r>
        <w:rPr>
          <w:rFonts w:ascii="Calibri" w:hAnsi="Calibri" w:cs="Calibri"/>
          <w:szCs w:val="24"/>
        </w:rPr>
        <w:t xml:space="preserve"> courses</w:t>
      </w:r>
      <w:r w:rsidR="003176F1">
        <w:rPr>
          <w:rFonts w:ascii="Calibri" w:hAnsi="Calibri" w:cs="Calibri"/>
          <w:szCs w:val="24"/>
        </w:rPr>
        <w:t xml:space="preserve"> that generated the revenue</w:t>
      </w:r>
      <w:r>
        <w:rPr>
          <w:rFonts w:ascii="Calibri" w:hAnsi="Calibri" w:cs="Calibri"/>
          <w:szCs w:val="24"/>
        </w:rPr>
        <w:t>.</w:t>
      </w:r>
    </w:p>
    <w:p w:rsidR="002D399A" w:rsidRPr="002D399A" w:rsidRDefault="002D399A" w:rsidP="003176F1">
      <w:pPr>
        <w:pStyle w:val="Body1"/>
        <w:ind w:left="360"/>
        <w:jc w:val="both"/>
        <w:rPr>
          <w:rFonts w:ascii="Calibri" w:hAnsi="Calibri" w:cs="Calibri"/>
          <w:b/>
          <w:szCs w:val="24"/>
        </w:rPr>
      </w:pPr>
      <w:r w:rsidRPr="00E72C44">
        <w:rPr>
          <w:rFonts w:ascii="Calibri" w:hAnsi="Calibri" w:cs="Calibri"/>
          <w:b/>
          <w:szCs w:val="24"/>
        </w:rPr>
        <w:t>Distance Fees</w:t>
      </w:r>
    </w:p>
    <w:p w:rsidR="002D399A" w:rsidRDefault="003176F1" w:rsidP="003176F1">
      <w:pPr>
        <w:pStyle w:val="Body1"/>
        <w:ind w:left="720"/>
        <w:jc w:val="both"/>
        <w:rPr>
          <w:rFonts w:ascii="Calibri" w:hAnsi="Calibri" w:cs="Calibri"/>
          <w:szCs w:val="24"/>
        </w:rPr>
      </w:pPr>
      <w:r>
        <w:rPr>
          <w:rFonts w:ascii="Calibri" w:hAnsi="Calibri" w:cs="Calibri"/>
          <w:color w:val="auto"/>
          <w:szCs w:val="24"/>
        </w:rPr>
        <w:t>Eighty percent (</w:t>
      </w:r>
      <w:r w:rsidR="002D399A" w:rsidRPr="003176F1">
        <w:rPr>
          <w:rFonts w:ascii="Calibri" w:hAnsi="Calibri" w:cs="Calibri"/>
          <w:color w:val="auto"/>
          <w:szCs w:val="24"/>
        </w:rPr>
        <w:t>80%</w:t>
      </w:r>
      <w:r>
        <w:rPr>
          <w:rFonts w:ascii="Calibri" w:hAnsi="Calibri" w:cs="Calibri"/>
          <w:color w:val="auto"/>
          <w:szCs w:val="24"/>
        </w:rPr>
        <w:t>)</w:t>
      </w:r>
      <w:r w:rsidR="002D399A">
        <w:rPr>
          <w:rFonts w:ascii="Calibri" w:hAnsi="Calibri" w:cs="Calibri"/>
          <w:szCs w:val="24"/>
        </w:rPr>
        <w:t xml:space="preserve"> of Campus 5 distance fees</w:t>
      </w:r>
      <w:r>
        <w:rPr>
          <w:rFonts w:ascii="Calibri" w:hAnsi="Calibri" w:cs="Calibri"/>
          <w:szCs w:val="24"/>
        </w:rPr>
        <w:t xml:space="preserve"> are returned to the c</w:t>
      </w:r>
      <w:r w:rsidR="002D399A">
        <w:rPr>
          <w:rFonts w:ascii="Calibri" w:hAnsi="Calibri" w:cs="Calibri"/>
          <w:szCs w:val="24"/>
        </w:rPr>
        <w:t>olleges</w:t>
      </w:r>
      <w:r>
        <w:rPr>
          <w:rFonts w:ascii="Calibri" w:hAnsi="Calibri" w:cs="Calibri"/>
          <w:szCs w:val="24"/>
        </w:rPr>
        <w:t xml:space="preserve"> offering the courses that generated those fees. The dean of each college is responsible for distributing those fees to the departments offering the courses that generated them</w:t>
      </w:r>
      <w:r w:rsidR="002D399A">
        <w:rPr>
          <w:rFonts w:ascii="Calibri" w:hAnsi="Calibri" w:cs="Calibri"/>
          <w:szCs w:val="24"/>
        </w:rPr>
        <w:t>.</w:t>
      </w:r>
    </w:p>
    <w:p w:rsidR="00734E7C" w:rsidRDefault="00734E7C" w:rsidP="003176F1">
      <w:pPr>
        <w:pStyle w:val="Body1"/>
        <w:ind w:left="720"/>
        <w:jc w:val="both"/>
        <w:rPr>
          <w:rFonts w:ascii="Calibri" w:hAnsi="Calibri" w:cs="Calibri"/>
          <w:szCs w:val="24"/>
        </w:rPr>
      </w:pPr>
    </w:p>
    <w:p w:rsidR="00C874B7" w:rsidRPr="00C874B7" w:rsidRDefault="00C874B7" w:rsidP="00C874B7">
      <w:pPr>
        <w:pStyle w:val="Body1"/>
        <w:jc w:val="both"/>
        <w:rPr>
          <w:rFonts w:ascii="Calibri" w:eastAsia="Times New Roman" w:hAnsi="Calibri" w:cs="Calibri"/>
          <w:b/>
          <w:color w:val="auto"/>
          <w:sz w:val="28"/>
          <w:szCs w:val="28"/>
        </w:rPr>
      </w:pPr>
      <w:r w:rsidRPr="000D0277">
        <w:rPr>
          <w:rFonts w:ascii="Calibri" w:eastAsia="Times New Roman" w:hAnsi="Calibri" w:cs="Calibri"/>
          <w:b/>
          <w:color w:val="auto"/>
          <w:sz w:val="28"/>
          <w:szCs w:val="28"/>
        </w:rPr>
        <w:t>Uses of the Distance Tuition &amp; Fees Returned to the Colleges</w:t>
      </w:r>
      <w:r>
        <w:rPr>
          <w:rFonts w:ascii="Calibri" w:eastAsia="Times New Roman" w:hAnsi="Calibri" w:cs="Calibri"/>
          <w:b/>
          <w:color w:val="auto"/>
          <w:sz w:val="28"/>
          <w:szCs w:val="28"/>
        </w:rPr>
        <w:t xml:space="preserve"> &amp; Departments</w:t>
      </w:r>
      <w:r w:rsidRPr="000D0277">
        <w:rPr>
          <w:rFonts w:ascii="Calibri" w:eastAsia="Times New Roman" w:hAnsi="Calibri" w:cs="Calibri"/>
          <w:b/>
          <w:color w:val="auto"/>
          <w:sz w:val="28"/>
          <w:szCs w:val="28"/>
        </w:rPr>
        <w:t>:</w:t>
      </w:r>
    </w:p>
    <w:p w:rsidR="00C874B7" w:rsidRPr="00E72C44" w:rsidRDefault="00C874B7" w:rsidP="00C874B7">
      <w:pPr>
        <w:pStyle w:val="Body1"/>
        <w:numPr>
          <w:ilvl w:val="0"/>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The primary use of distance tu</w:t>
      </w:r>
      <w:r>
        <w:rPr>
          <w:rFonts w:ascii="Calibri" w:eastAsia="Times New Roman" w:hAnsi="Calibri" w:cs="Calibri"/>
          <w:color w:val="auto"/>
          <w:szCs w:val="24"/>
        </w:rPr>
        <w:t>ition and fees returned to the colleges and d</w:t>
      </w:r>
      <w:r w:rsidRPr="00E72C44">
        <w:rPr>
          <w:rFonts w:ascii="Calibri" w:eastAsia="Times New Roman" w:hAnsi="Calibri" w:cs="Calibri"/>
          <w:color w:val="auto"/>
          <w:szCs w:val="24"/>
        </w:rPr>
        <w:t xml:space="preserve">epartments should be to fund distance instruction as well as on-campus instruction. </w:t>
      </w:r>
      <w:r>
        <w:rPr>
          <w:rFonts w:ascii="Calibri" w:eastAsia="Times New Roman" w:hAnsi="Calibri" w:cs="Calibri"/>
          <w:color w:val="auto"/>
          <w:szCs w:val="24"/>
        </w:rPr>
        <w:t>This includes:</w:t>
      </w:r>
    </w:p>
    <w:p w:rsidR="00C874B7" w:rsidRPr="00E72C44"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Payment of salaries of instructors teaching the distance courses.</w:t>
      </w:r>
    </w:p>
    <w:p w:rsidR="00C874B7" w:rsidRPr="00E72C44"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 xml:space="preserve">Support of </w:t>
      </w:r>
      <w:r>
        <w:rPr>
          <w:rFonts w:ascii="Calibri" w:eastAsia="Times New Roman" w:hAnsi="Calibri" w:cs="Calibri"/>
          <w:color w:val="auto"/>
          <w:szCs w:val="24"/>
        </w:rPr>
        <w:t>Campus 1</w:t>
      </w:r>
      <w:r w:rsidRPr="00E72C44">
        <w:rPr>
          <w:rFonts w:ascii="Calibri" w:eastAsia="Times New Roman" w:hAnsi="Calibri" w:cs="Calibri"/>
          <w:color w:val="auto"/>
          <w:szCs w:val="24"/>
        </w:rPr>
        <w:t xml:space="preserve"> instructional programs: salaries, staff, etc.</w:t>
      </w:r>
    </w:p>
    <w:p w:rsidR="00C874B7" w:rsidRPr="00E72C44" w:rsidRDefault="00C874B7" w:rsidP="00C874B7">
      <w:pPr>
        <w:pStyle w:val="Body1"/>
        <w:numPr>
          <w:ilvl w:val="0"/>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 xml:space="preserve">Returned distance tuition and fees can also be used to fund activities directly related to distance degree programs. </w:t>
      </w:r>
      <w:r>
        <w:rPr>
          <w:rFonts w:ascii="Calibri" w:eastAsia="Times New Roman" w:hAnsi="Calibri" w:cs="Calibri"/>
          <w:color w:val="auto"/>
          <w:szCs w:val="24"/>
        </w:rPr>
        <w:t>This includes:</w:t>
      </w:r>
    </w:p>
    <w:p w:rsidR="00C874B7" w:rsidRPr="00E72C44"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Payment of salaries of staff members who support the distance programs, including graduate students.</w:t>
      </w:r>
    </w:p>
    <w:p w:rsidR="00C874B7"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 xml:space="preserve">Contractual, commodities, and equipment expenses associated </w:t>
      </w:r>
      <w:r>
        <w:rPr>
          <w:rFonts w:ascii="Calibri" w:eastAsia="Times New Roman" w:hAnsi="Calibri" w:cs="Calibri"/>
          <w:color w:val="auto"/>
          <w:szCs w:val="24"/>
        </w:rPr>
        <w:t>with distance course delivery.</w:t>
      </w:r>
    </w:p>
    <w:p w:rsidR="00C874B7" w:rsidRPr="00E72C44"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Construction of distance education classrooms.</w:t>
      </w:r>
    </w:p>
    <w:p w:rsidR="00C874B7" w:rsidRPr="00E72C44"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Marketing of distance education.</w:t>
      </w:r>
    </w:p>
    <w:p w:rsidR="00C874B7" w:rsidRPr="00E72C44"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 xml:space="preserve">New </w:t>
      </w:r>
      <w:r>
        <w:rPr>
          <w:rFonts w:ascii="Calibri" w:eastAsia="Times New Roman" w:hAnsi="Calibri" w:cs="Calibri"/>
          <w:color w:val="auto"/>
          <w:szCs w:val="24"/>
        </w:rPr>
        <w:t xml:space="preserve">distance degree </w:t>
      </w:r>
      <w:r w:rsidRPr="00E72C44">
        <w:rPr>
          <w:rFonts w:ascii="Calibri" w:eastAsia="Times New Roman" w:hAnsi="Calibri" w:cs="Calibri"/>
          <w:color w:val="auto"/>
          <w:szCs w:val="24"/>
        </w:rPr>
        <w:t>program development.</w:t>
      </w:r>
    </w:p>
    <w:p w:rsidR="00C874B7" w:rsidRPr="00E72C44" w:rsidRDefault="00C874B7" w:rsidP="00C874B7">
      <w:pPr>
        <w:pStyle w:val="Body1"/>
        <w:numPr>
          <w:ilvl w:val="1"/>
          <w:numId w:val="17"/>
        </w:numPr>
        <w:jc w:val="both"/>
        <w:rPr>
          <w:rFonts w:ascii="Calibri" w:eastAsia="Times New Roman" w:hAnsi="Calibri" w:cs="Calibri"/>
          <w:color w:val="auto"/>
          <w:szCs w:val="24"/>
        </w:rPr>
      </w:pPr>
      <w:r w:rsidRPr="00E72C44">
        <w:rPr>
          <w:rFonts w:ascii="Calibri" w:eastAsia="Times New Roman" w:hAnsi="Calibri" w:cs="Calibri"/>
          <w:color w:val="auto"/>
          <w:szCs w:val="24"/>
        </w:rPr>
        <w:t>Travel to recruit students or to present results related to distance program.</w:t>
      </w:r>
    </w:p>
    <w:p w:rsidR="00C874B7" w:rsidRDefault="00C874B7" w:rsidP="00C874B7">
      <w:pPr>
        <w:pStyle w:val="Body1"/>
        <w:numPr>
          <w:ilvl w:val="0"/>
          <w:numId w:val="17"/>
        </w:numPr>
        <w:jc w:val="both"/>
        <w:rPr>
          <w:rFonts w:ascii="Calibri" w:eastAsia="Times New Roman" w:hAnsi="Calibri" w:cs="Calibri"/>
          <w:color w:val="auto"/>
          <w:szCs w:val="24"/>
        </w:rPr>
      </w:pPr>
      <w:r w:rsidRPr="00C874B7">
        <w:rPr>
          <w:rFonts w:ascii="Calibri" w:eastAsia="Times New Roman" w:hAnsi="Calibri" w:cs="Calibri"/>
          <w:color w:val="auto"/>
          <w:szCs w:val="24"/>
        </w:rPr>
        <w:t xml:space="preserve">After instructional costs and distance degree program costs are covered, remaining distance tuition and fees returned to the </w:t>
      </w:r>
      <w:r>
        <w:rPr>
          <w:rFonts w:ascii="Calibri" w:eastAsia="Times New Roman" w:hAnsi="Calibri" w:cs="Calibri"/>
          <w:color w:val="auto"/>
          <w:szCs w:val="24"/>
        </w:rPr>
        <w:t>colleges and d</w:t>
      </w:r>
      <w:r w:rsidRPr="00C874B7">
        <w:rPr>
          <w:rFonts w:ascii="Calibri" w:eastAsia="Times New Roman" w:hAnsi="Calibri" w:cs="Calibri"/>
          <w:color w:val="auto"/>
          <w:szCs w:val="24"/>
        </w:rPr>
        <w:t>epartments can be used to support other mission-relevant activities</w:t>
      </w:r>
      <w:r>
        <w:rPr>
          <w:rFonts w:ascii="Calibri" w:eastAsia="Times New Roman" w:hAnsi="Calibri" w:cs="Calibri"/>
          <w:color w:val="auto"/>
          <w:szCs w:val="24"/>
        </w:rPr>
        <w:t xml:space="preserve"> with</w:t>
      </w:r>
      <w:r w:rsidRPr="00C874B7">
        <w:rPr>
          <w:rFonts w:ascii="Calibri" w:eastAsia="Times New Roman" w:hAnsi="Calibri" w:cs="Calibri"/>
          <w:color w:val="auto"/>
          <w:szCs w:val="24"/>
        </w:rPr>
        <w:t xml:space="preserve"> approval through the chain of command to the Provost and Executive Vice President.</w:t>
      </w:r>
    </w:p>
    <w:p w:rsidR="00C874B7" w:rsidRPr="00C874B7" w:rsidRDefault="00C874B7" w:rsidP="00C874B7">
      <w:pPr>
        <w:pStyle w:val="Body1"/>
        <w:jc w:val="both"/>
        <w:rPr>
          <w:rFonts w:ascii="Calibri" w:eastAsia="Times New Roman" w:hAnsi="Calibri" w:cs="Calibri"/>
          <w:color w:val="auto"/>
          <w:szCs w:val="24"/>
        </w:rPr>
      </w:pPr>
    </w:p>
    <w:p w:rsidR="00BD6204" w:rsidRPr="000D0277" w:rsidRDefault="00BD6204" w:rsidP="00CD6B3D">
      <w:pPr>
        <w:pStyle w:val="Body1"/>
        <w:jc w:val="both"/>
        <w:rPr>
          <w:rFonts w:ascii="Calibri" w:hAnsi="Calibri" w:cs="Calibri"/>
          <w:b/>
          <w:sz w:val="28"/>
          <w:szCs w:val="28"/>
        </w:rPr>
      </w:pPr>
      <w:r w:rsidRPr="000D0277">
        <w:rPr>
          <w:rFonts w:ascii="Calibri" w:hAnsi="Calibri" w:cs="Calibri"/>
          <w:b/>
          <w:sz w:val="28"/>
          <w:szCs w:val="28"/>
        </w:rPr>
        <w:t>Possible Ways for Faculty to Teach:</w:t>
      </w:r>
    </w:p>
    <w:p w:rsidR="00BD6204" w:rsidRDefault="00D331CD" w:rsidP="00CD6B3D">
      <w:pPr>
        <w:pStyle w:val="Body1"/>
        <w:numPr>
          <w:ilvl w:val="0"/>
          <w:numId w:val="14"/>
        </w:numPr>
        <w:jc w:val="both"/>
        <w:rPr>
          <w:rFonts w:ascii="Calibri" w:hAnsi="Calibri" w:cs="Calibri"/>
          <w:szCs w:val="24"/>
        </w:rPr>
      </w:pPr>
      <w:r>
        <w:rPr>
          <w:rFonts w:ascii="Calibri" w:hAnsi="Calibri" w:cs="Calibri"/>
          <w:szCs w:val="24"/>
        </w:rPr>
        <w:t>Faculty members (instructors, assistant professors, assoc</w:t>
      </w:r>
      <w:r w:rsidR="004E657D">
        <w:rPr>
          <w:rFonts w:ascii="Calibri" w:hAnsi="Calibri" w:cs="Calibri"/>
          <w:szCs w:val="24"/>
        </w:rPr>
        <w:t>iate professors, and professors</w:t>
      </w:r>
      <w:r>
        <w:rPr>
          <w:rFonts w:ascii="Calibri" w:hAnsi="Calibri" w:cs="Calibri"/>
          <w:szCs w:val="24"/>
        </w:rPr>
        <w:t xml:space="preserve">) are generally expected to teach distance classes as part of their normal teaching load (i.e., </w:t>
      </w:r>
      <w:r w:rsidR="00BD6204" w:rsidRPr="00842E07">
        <w:rPr>
          <w:rFonts w:ascii="Calibri" w:hAnsi="Calibri" w:cs="Calibri"/>
          <w:szCs w:val="24"/>
        </w:rPr>
        <w:t>no extra pay</w:t>
      </w:r>
      <w:r>
        <w:rPr>
          <w:rFonts w:ascii="Calibri" w:hAnsi="Calibri" w:cs="Calibri"/>
          <w:szCs w:val="24"/>
        </w:rPr>
        <w:t>).</w:t>
      </w:r>
    </w:p>
    <w:p w:rsidR="00017EA5" w:rsidRDefault="00D331CD" w:rsidP="00CD6B3D">
      <w:pPr>
        <w:pStyle w:val="Body1"/>
        <w:numPr>
          <w:ilvl w:val="0"/>
          <w:numId w:val="14"/>
        </w:numPr>
        <w:jc w:val="both"/>
        <w:rPr>
          <w:rFonts w:ascii="Calibri" w:hAnsi="Calibri" w:cs="Calibri"/>
          <w:szCs w:val="24"/>
        </w:rPr>
      </w:pPr>
      <w:r>
        <w:rPr>
          <w:rFonts w:ascii="Calibri" w:hAnsi="Calibri" w:cs="Calibri"/>
          <w:szCs w:val="24"/>
        </w:rPr>
        <w:t>L</w:t>
      </w:r>
      <w:r w:rsidR="00017EA5">
        <w:rPr>
          <w:rFonts w:ascii="Calibri" w:hAnsi="Calibri" w:cs="Calibri"/>
          <w:szCs w:val="24"/>
        </w:rPr>
        <w:t>ecturers</w:t>
      </w:r>
      <w:r>
        <w:rPr>
          <w:rFonts w:ascii="Calibri" w:hAnsi="Calibri" w:cs="Calibri"/>
          <w:szCs w:val="24"/>
        </w:rPr>
        <w:t xml:space="preserve"> may be hired as needed</w:t>
      </w:r>
      <w:r w:rsidR="00AF7277">
        <w:rPr>
          <w:rFonts w:ascii="Calibri" w:hAnsi="Calibri" w:cs="Calibri"/>
          <w:szCs w:val="24"/>
        </w:rPr>
        <w:t xml:space="preserve"> on a class-by-class</w:t>
      </w:r>
      <w:r w:rsidR="00017EA5">
        <w:rPr>
          <w:rFonts w:ascii="Calibri" w:hAnsi="Calibri" w:cs="Calibri"/>
          <w:szCs w:val="24"/>
        </w:rPr>
        <w:t xml:space="preserve"> basis.</w:t>
      </w:r>
    </w:p>
    <w:p w:rsidR="00304745" w:rsidRDefault="00D331CD" w:rsidP="00CD6B3D">
      <w:pPr>
        <w:pStyle w:val="Body1"/>
        <w:numPr>
          <w:ilvl w:val="0"/>
          <w:numId w:val="14"/>
        </w:numPr>
        <w:jc w:val="both"/>
        <w:rPr>
          <w:rFonts w:ascii="Calibri" w:hAnsi="Calibri" w:cs="Calibri"/>
          <w:szCs w:val="24"/>
        </w:rPr>
      </w:pPr>
      <w:r>
        <w:rPr>
          <w:rFonts w:ascii="Calibri" w:hAnsi="Calibri" w:cs="Calibri"/>
          <w:szCs w:val="24"/>
        </w:rPr>
        <w:lastRenderedPageBreak/>
        <w:t>Very limited use of overload teaching and overload pay (where the academic unit provides the additional pay) will be allowed only under the following conditions:</w:t>
      </w:r>
    </w:p>
    <w:p w:rsidR="00BD6204" w:rsidRPr="00E72C44" w:rsidRDefault="00BD6204" w:rsidP="00CD6B3D">
      <w:pPr>
        <w:pStyle w:val="Body1"/>
        <w:numPr>
          <w:ilvl w:val="1"/>
          <w:numId w:val="14"/>
        </w:numPr>
        <w:jc w:val="both"/>
        <w:rPr>
          <w:rFonts w:ascii="Calibri" w:hAnsi="Calibri" w:cs="Calibri"/>
          <w:szCs w:val="24"/>
        </w:rPr>
      </w:pPr>
      <w:r w:rsidRPr="00E72C44">
        <w:rPr>
          <w:rFonts w:ascii="Calibri" w:hAnsi="Calibri" w:cs="Calibri"/>
          <w:szCs w:val="24"/>
        </w:rPr>
        <w:t xml:space="preserve">Instructors with a 4-4 </w:t>
      </w:r>
      <w:r w:rsidR="00D331CD">
        <w:rPr>
          <w:rFonts w:ascii="Calibri" w:hAnsi="Calibri" w:cs="Calibri"/>
          <w:szCs w:val="24"/>
        </w:rPr>
        <w:t>teaching load may</w:t>
      </w:r>
      <w:r w:rsidRPr="00E72C44">
        <w:rPr>
          <w:rFonts w:ascii="Calibri" w:hAnsi="Calibri" w:cs="Calibri"/>
          <w:szCs w:val="24"/>
        </w:rPr>
        <w:t xml:space="preserve"> teach </w:t>
      </w:r>
      <w:r w:rsidR="00D331CD">
        <w:rPr>
          <w:rFonts w:ascii="Calibri" w:hAnsi="Calibri" w:cs="Calibri"/>
          <w:szCs w:val="24"/>
        </w:rPr>
        <w:t xml:space="preserve">only </w:t>
      </w:r>
      <w:r w:rsidRPr="00E72C44">
        <w:rPr>
          <w:rFonts w:ascii="Calibri" w:hAnsi="Calibri" w:cs="Calibri"/>
          <w:szCs w:val="24"/>
        </w:rPr>
        <w:t xml:space="preserve">one additional </w:t>
      </w:r>
      <w:r w:rsidR="00D331CD">
        <w:rPr>
          <w:rFonts w:ascii="Calibri" w:hAnsi="Calibri" w:cs="Calibri"/>
          <w:szCs w:val="24"/>
        </w:rPr>
        <w:t>class</w:t>
      </w:r>
      <w:r w:rsidRPr="00E72C44">
        <w:rPr>
          <w:rFonts w:ascii="Calibri" w:hAnsi="Calibri" w:cs="Calibri"/>
          <w:szCs w:val="24"/>
        </w:rPr>
        <w:t xml:space="preserve"> per semester as an overload</w:t>
      </w:r>
      <w:r w:rsidR="00FE40A2" w:rsidRPr="00E72C44">
        <w:rPr>
          <w:rFonts w:ascii="Calibri" w:hAnsi="Calibri" w:cs="Calibri"/>
          <w:szCs w:val="24"/>
        </w:rPr>
        <w:t xml:space="preserve">; the maximum </w:t>
      </w:r>
      <w:r w:rsidR="00D331CD">
        <w:rPr>
          <w:rFonts w:ascii="Calibri" w:hAnsi="Calibri" w:cs="Calibri"/>
          <w:szCs w:val="24"/>
        </w:rPr>
        <w:t xml:space="preserve">overload </w:t>
      </w:r>
      <w:r w:rsidR="00FE40A2" w:rsidRPr="00E72C44">
        <w:rPr>
          <w:rFonts w:ascii="Calibri" w:hAnsi="Calibri" w:cs="Calibri"/>
          <w:szCs w:val="24"/>
        </w:rPr>
        <w:t>payme</w:t>
      </w:r>
      <w:r w:rsidR="00B378FC">
        <w:rPr>
          <w:rFonts w:ascii="Calibri" w:hAnsi="Calibri" w:cs="Calibri"/>
          <w:szCs w:val="24"/>
        </w:rPr>
        <w:t>nt allowed is $4,500</w:t>
      </w:r>
      <w:r w:rsidRPr="00E72C44">
        <w:rPr>
          <w:rFonts w:ascii="Calibri" w:hAnsi="Calibri" w:cs="Calibri"/>
          <w:szCs w:val="24"/>
        </w:rPr>
        <w:t>.</w:t>
      </w:r>
    </w:p>
    <w:p w:rsidR="00752951" w:rsidRDefault="00D00C48" w:rsidP="00CD6B3D">
      <w:pPr>
        <w:pStyle w:val="Body1"/>
        <w:numPr>
          <w:ilvl w:val="1"/>
          <w:numId w:val="14"/>
        </w:numPr>
        <w:jc w:val="both"/>
        <w:rPr>
          <w:rFonts w:ascii="Calibri" w:hAnsi="Calibri" w:cs="Calibri"/>
          <w:szCs w:val="24"/>
        </w:rPr>
      </w:pPr>
      <w:r>
        <w:rPr>
          <w:rFonts w:ascii="Calibri" w:hAnsi="Calibri" w:cs="Calibri"/>
          <w:szCs w:val="24"/>
        </w:rPr>
        <w:t xml:space="preserve">Tenured </w:t>
      </w:r>
      <w:r w:rsidR="00BD6204" w:rsidRPr="00B378FC">
        <w:rPr>
          <w:rFonts w:ascii="Calibri" w:hAnsi="Calibri" w:cs="Calibri"/>
          <w:szCs w:val="24"/>
        </w:rPr>
        <w:t>Associate and Full Professors with a 3-3</w:t>
      </w:r>
      <w:r w:rsidR="00D331CD">
        <w:rPr>
          <w:rFonts w:ascii="Calibri" w:hAnsi="Calibri" w:cs="Calibri"/>
          <w:szCs w:val="24"/>
        </w:rPr>
        <w:t xml:space="preserve"> teaching</w:t>
      </w:r>
      <w:r w:rsidR="00BD6204" w:rsidRPr="00B378FC">
        <w:rPr>
          <w:rFonts w:ascii="Calibri" w:hAnsi="Calibri" w:cs="Calibri"/>
          <w:szCs w:val="24"/>
        </w:rPr>
        <w:t xml:space="preserve"> load </w:t>
      </w:r>
      <w:r w:rsidR="00D331CD">
        <w:rPr>
          <w:rFonts w:ascii="Calibri" w:hAnsi="Calibri" w:cs="Calibri"/>
          <w:szCs w:val="24"/>
        </w:rPr>
        <w:t>may</w:t>
      </w:r>
      <w:r w:rsidR="00BD6204" w:rsidRPr="00B378FC">
        <w:rPr>
          <w:rFonts w:ascii="Calibri" w:hAnsi="Calibri" w:cs="Calibri"/>
          <w:szCs w:val="24"/>
        </w:rPr>
        <w:t xml:space="preserve"> teach </w:t>
      </w:r>
      <w:r w:rsidR="00D331CD">
        <w:rPr>
          <w:rFonts w:ascii="Calibri" w:hAnsi="Calibri" w:cs="Calibri"/>
          <w:szCs w:val="24"/>
        </w:rPr>
        <w:t xml:space="preserve">only </w:t>
      </w:r>
      <w:r w:rsidR="00BD6204" w:rsidRPr="00B378FC">
        <w:rPr>
          <w:rFonts w:ascii="Calibri" w:hAnsi="Calibri" w:cs="Calibri"/>
          <w:szCs w:val="24"/>
        </w:rPr>
        <w:t>one additional c</w:t>
      </w:r>
      <w:r w:rsidR="00D331CD">
        <w:rPr>
          <w:rFonts w:ascii="Calibri" w:hAnsi="Calibri" w:cs="Calibri"/>
          <w:szCs w:val="24"/>
        </w:rPr>
        <w:t>lass</w:t>
      </w:r>
      <w:r w:rsidR="00BD6204" w:rsidRPr="00B378FC">
        <w:rPr>
          <w:rFonts w:ascii="Calibri" w:hAnsi="Calibri" w:cs="Calibri"/>
          <w:szCs w:val="24"/>
        </w:rPr>
        <w:t xml:space="preserve"> per semester as an overload.</w:t>
      </w:r>
      <w:r w:rsidR="00965646" w:rsidRPr="00B378FC">
        <w:rPr>
          <w:rFonts w:ascii="Calibri" w:hAnsi="Calibri" w:cs="Calibri"/>
          <w:szCs w:val="24"/>
        </w:rPr>
        <w:t xml:space="preserve"> </w:t>
      </w:r>
      <w:r w:rsidR="00FE40A2" w:rsidRPr="00B378FC">
        <w:rPr>
          <w:rFonts w:ascii="Calibri" w:hAnsi="Calibri" w:cs="Calibri"/>
          <w:szCs w:val="24"/>
        </w:rPr>
        <w:t xml:space="preserve"> The maximum </w:t>
      </w:r>
      <w:r w:rsidR="00D331CD">
        <w:rPr>
          <w:rFonts w:ascii="Calibri" w:hAnsi="Calibri" w:cs="Calibri"/>
          <w:szCs w:val="24"/>
        </w:rPr>
        <w:t xml:space="preserve">overload </w:t>
      </w:r>
      <w:r w:rsidR="00FE40A2" w:rsidRPr="00B378FC">
        <w:rPr>
          <w:rFonts w:ascii="Calibri" w:hAnsi="Calibri" w:cs="Calibri"/>
          <w:szCs w:val="24"/>
        </w:rPr>
        <w:t>payment allowed is $7,000 for associate professors and $8,000 for professors.</w:t>
      </w:r>
    </w:p>
    <w:p w:rsidR="00D331CD" w:rsidRPr="00B378FC" w:rsidRDefault="00A56D13" w:rsidP="00CD6B3D">
      <w:pPr>
        <w:pStyle w:val="Body1"/>
        <w:numPr>
          <w:ilvl w:val="1"/>
          <w:numId w:val="14"/>
        </w:numPr>
        <w:jc w:val="both"/>
        <w:rPr>
          <w:rFonts w:ascii="Calibri" w:hAnsi="Calibri" w:cs="Calibri"/>
          <w:szCs w:val="24"/>
        </w:rPr>
      </w:pPr>
      <w:r>
        <w:rPr>
          <w:rFonts w:ascii="Calibri" w:hAnsi="Calibri" w:cs="Calibri"/>
          <w:szCs w:val="24"/>
        </w:rPr>
        <w:t>Tenure-track faculty members (i.e., those in tenure-track positions, regardless of rank, who have not been granted tenure)</w:t>
      </w:r>
      <w:r w:rsidR="00D331CD">
        <w:rPr>
          <w:rFonts w:ascii="Calibri" w:hAnsi="Calibri" w:cs="Calibri"/>
          <w:szCs w:val="24"/>
        </w:rPr>
        <w:t xml:space="preserve"> will not be allowed to teach overloads.</w:t>
      </w:r>
    </w:p>
    <w:p w:rsidR="00B06213" w:rsidRPr="00E72C44" w:rsidRDefault="00B06213" w:rsidP="00CD6B3D">
      <w:pPr>
        <w:pStyle w:val="Body1"/>
        <w:numPr>
          <w:ilvl w:val="1"/>
          <w:numId w:val="14"/>
        </w:numPr>
        <w:jc w:val="both"/>
        <w:rPr>
          <w:rFonts w:ascii="Calibri" w:hAnsi="Calibri" w:cs="Calibri"/>
          <w:szCs w:val="24"/>
        </w:rPr>
      </w:pPr>
      <w:r w:rsidRPr="00E72C44">
        <w:rPr>
          <w:rFonts w:ascii="Calibri" w:hAnsi="Calibri" w:cs="Calibri"/>
          <w:szCs w:val="24"/>
        </w:rPr>
        <w:t>Colleges/department</w:t>
      </w:r>
      <w:r w:rsidR="00D331CD">
        <w:rPr>
          <w:rFonts w:ascii="Calibri" w:hAnsi="Calibri" w:cs="Calibri"/>
          <w:szCs w:val="24"/>
        </w:rPr>
        <w:t>s</w:t>
      </w:r>
      <w:r w:rsidRPr="00E72C44">
        <w:rPr>
          <w:rFonts w:ascii="Calibri" w:hAnsi="Calibri" w:cs="Calibri"/>
          <w:szCs w:val="24"/>
        </w:rPr>
        <w:t xml:space="preserve"> may either restrict payment</w:t>
      </w:r>
      <w:r w:rsidR="00FE40A2" w:rsidRPr="00E72C44">
        <w:rPr>
          <w:rFonts w:ascii="Calibri" w:hAnsi="Calibri" w:cs="Calibri"/>
          <w:szCs w:val="24"/>
        </w:rPr>
        <w:t xml:space="preserve"> to lecturers or the overload pay to instructors, associate professors, and professors</w:t>
      </w:r>
      <w:r w:rsidRPr="00E72C44">
        <w:rPr>
          <w:rFonts w:ascii="Calibri" w:hAnsi="Calibri" w:cs="Calibri"/>
          <w:szCs w:val="24"/>
        </w:rPr>
        <w:t xml:space="preserve"> on a prorated basis following the same guidelines used to determine summer school pay for c</w:t>
      </w:r>
      <w:r w:rsidR="00AF7277">
        <w:rPr>
          <w:rFonts w:ascii="Calibri" w:hAnsi="Calibri" w:cs="Calibri"/>
          <w:szCs w:val="24"/>
        </w:rPr>
        <w:t>lasses</w:t>
      </w:r>
      <w:r w:rsidRPr="00E72C44">
        <w:rPr>
          <w:rFonts w:ascii="Calibri" w:hAnsi="Calibri" w:cs="Calibri"/>
          <w:szCs w:val="24"/>
        </w:rPr>
        <w:t xml:space="preserve"> with less than the prescribed enrollment</w:t>
      </w:r>
      <w:r w:rsidR="00082A56" w:rsidRPr="00E72C44">
        <w:rPr>
          <w:rFonts w:ascii="Calibri" w:hAnsi="Calibri" w:cs="Calibri"/>
          <w:szCs w:val="24"/>
        </w:rPr>
        <w:t xml:space="preserve"> or may supplement the pay from other distance education funds up to the max</w:t>
      </w:r>
      <w:r w:rsidR="00AF7277">
        <w:rPr>
          <w:rFonts w:ascii="Calibri" w:hAnsi="Calibri" w:cs="Calibri"/>
          <w:szCs w:val="24"/>
        </w:rPr>
        <w:t>imum defined above</w:t>
      </w:r>
      <w:r w:rsidR="00082A56" w:rsidRPr="00E72C44">
        <w:rPr>
          <w:rFonts w:ascii="Calibri" w:hAnsi="Calibri" w:cs="Calibri"/>
          <w:szCs w:val="24"/>
        </w:rPr>
        <w:t>.</w:t>
      </w:r>
    </w:p>
    <w:p w:rsidR="00965646" w:rsidRPr="00E72C44" w:rsidRDefault="00965646" w:rsidP="00CD6B3D">
      <w:pPr>
        <w:pStyle w:val="Body1"/>
        <w:numPr>
          <w:ilvl w:val="0"/>
          <w:numId w:val="14"/>
        </w:numPr>
        <w:jc w:val="both"/>
        <w:rPr>
          <w:rFonts w:ascii="Calibri" w:hAnsi="Calibri" w:cs="Calibri"/>
          <w:szCs w:val="24"/>
        </w:rPr>
      </w:pPr>
      <w:r w:rsidRPr="00E72C44">
        <w:rPr>
          <w:rFonts w:ascii="Calibri" w:hAnsi="Calibri" w:cs="Calibri"/>
          <w:szCs w:val="24"/>
        </w:rPr>
        <w:t>Hiring of lecturers or instructors to teach distance courses will be the responsibility of the academic department and will follow the same Academic Affairs hiring practices as for on-campus</w:t>
      </w:r>
      <w:r w:rsidR="00CE4220" w:rsidRPr="00E72C44">
        <w:rPr>
          <w:rFonts w:ascii="Calibri" w:hAnsi="Calibri" w:cs="Calibri"/>
          <w:szCs w:val="24"/>
        </w:rPr>
        <w:t xml:space="preserve"> lecturers or instructors</w:t>
      </w:r>
      <w:r w:rsidRPr="00E72C44">
        <w:rPr>
          <w:rFonts w:ascii="Calibri" w:hAnsi="Calibri" w:cs="Calibri"/>
          <w:szCs w:val="24"/>
        </w:rPr>
        <w:t>.</w:t>
      </w:r>
    </w:p>
    <w:p w:rsidR="00B06213" w:rsidRPr="00E72C44" w:rsidRDefault="00B378FC" w:rsidP="00CD6B3D">
      <w:pPr>
        <w:pStyle w:val="Body1"/>
        <w:numPr>
          <w:ilvl w:val="1"/>
          <w:numId w:val="14"/>
        </w:numPr>
        <w:jc w:val="both"/>
        <w:rPr>
          <w:rFonts w:ascii="Calibri" w:hAnsi="Calibri" w:cs="Calibri"/>
          <w:szCs w:val="24"/>
        </w:rPr>
      </w:pPr>
      <w:r>
        <w:rPr>
          <w:rFonts w:ascii="Calibri" w:hAnsi="Calibri" w:cs="Calibri"/>
          <w:szCs w:val="24"/>
        </w:rPr>
        <w:t xml:space="preserve">Offer letters </w:t>
      </w:r>
      <w:r w:rsidR="00B06213" w:rsidRPr="00E72C44">
        <w:rPr>
          <w:rFonts w:ascii="Calibri" w:hAnsi="Calibri" w:cs="Calibri"/>
          <w:szCs w:val="24"/>
        </w:rPr>
        <w:t>will include a contingency statement regarding sufficient enrollment for a class to make.</w:t>
      </w:r>
    </w:p>
    <w:p w:rsidR="00B06213" w:rsidRPr="00E72C44" w:rsidRDefault="00B06213" w:rsidP="00CD6B3D">
      <w:pPr>
        <w:pStyle w:val="Body1"/>
        <w:numPr>
          <w:ilvl w:val="1"/>
          <w:numId w:val="14"/>
        </w:numPr>
        <w:jc w:val="both"/>
        <w:rPr>
          <w:rFonts w:ascii="Calibri" w:hAnsi="Calibri" w:cs="Calibri"/>
          <w:szCs w:val="24"/>
        </w:rPr>
      </w:pPr>
      <w:r w:rsidRPr="00E72C44">
        <w:rPr>
          <w:rFonts w:ascii="Calibri" w:hAnsi="Calibri" w:cs="Calibri"/>
          <w:szCs w:val="24"/>
        </w:rPr>
        <w:t>Enrollment requirements for a c</w:t>
      </w:r>
      <w:r w:rsidR="00AF7277">
        <w:rPr>
          <w:rFonts w:ascii="Calibri" w:hAnsi="Calibri" w:cs="Calibri"/>
          <w:szCs w:val="24"/>
        </w:rPr>
        <w:t>lass</w:t>
      </w:r>
      <w:r w:rsidRPr="00E72C44">
        <w:rPr>
          <w:rFonts w:ascii="Calibri" w:hAnsi="Calibri" w:cs="Calibri"/>
          <w:szCs w:val="24"/>
        </w:rPr>
        <w:t xml:space="preserve"> </w:t>
      </w:r>
      <w:r w:rsidR="00AF7277">
        <w:rPr>
          <w:rFonts w:ascii="Calibri" w:hAnsi="Calibri" w:cs="Calibri"/>
          <w:szCs w:val="24"/>
        </w:rPr>
        <w:t>to make will be consistent for Campus 1 and C</w:t>
      </w:r>
      <w:r w:rsidRPr="00E72C44">
        <w:rPr>
          <w:rFonts w:ascii="Calibri" w:hAnsi="Calibri" w:cs="Calibri"/>
          <w:szCs w:val="24"/>
        </w:rPr>
        <w:t>ampus 5.</w:t>
      </w:r>
    </w:p>
    <w:p w:rsidR="00C24C0B" w:rsidRPr="00E72C44" w:rsidRDefault="00A13A55" w:rsidP="00CD6B3D">
      <w:pPr>
        <w:pStyle w:val="Body1"/>
        <w:numPr>
          <w:ilvl w:val="0"/>
          <w:numId w:val="14"/>
        </w:numPr>
        <w:jc w:val="both"/>
        <w:rPr>
          <w:rFonts w:ascii="Calibri" w:hAnsi="Calibri" w:cs="Calibri"/>
          <w:szCs w:val="24"/>
        </w:rPr>
      </w:pPr>
      <w:r w:rsidRPr="00E72C44">
        <w:rPr>
          <w:rFonts w:ascii="Calibri" w:hAnsi="Calibri" w:cs="Calibri"/>
          <w:szCs w:val="24"/>
        </w:rPr>
        <w:t>Summer school distance education instruction compensation is the responsibility of the academic</w:t>
      </w:r>
      <w:r w:rsidR="00C24C0B" w:rsidRPr="00E72C44">
        <w:rPr>
          <w:rFonts w:ascii="Calibri" w:hAnsi="Calibri" w:cs="Calibri"/>
          <w:szCs w:val="24"/>
        </w:rPr>
        <w:t xml:space="preserve"> department of</w:t>
      </w:r>
      <w:r w:rsidR="00AF7277">
        <w:rPr>
          <w:rFonts w:ascii="Calibri" w:hAnsi="Calibri" w:cs="Calibri"/>
          <w:szCs w:val="24"/>
        </w:rPr>
        <w:t>fering the course. It must</w:t>
      </w:r>
      <w:r w:rsidR="00C24C0B" w:rsidRPr="00E72C44">
        <w:rPr>
          <w:rFonts w:ascii="Calibri" w:hAnsi="Calibri" w:cs="Calibri"/>
          <w:szCs w:val="24"/>
        </w:rPr>
        <w:t xml:space="preserve"> be consistent wit</w:t>
      </w:r>
      <w:r w:rsidR="00293759">
        <w:rPr>
          <w:rFonts w:ascii="Calibri" w:hAnsi="Calibri" w:cs="Calibri"/>
          <w:szCs w:val="24"/>
        </w:rPr>
        <w:t xml:space="preserve">h the summer school policy </w:t>
      </w:r>
      <w:r w:rsidR="00C24C0B" w:rsidRPr="00E72C44">
        <w:rPr>
          <w:rFonts w:ascii="Calibri" w:hAnsi="Calibri" w:cs="Calibri"/>
          <w:szCs w:val="24"/>
        </w:rPr>
        <w:t xml:space="preserve">AOP 13.12 </w:t>
      </w:r>
      <w:hyperlink r:id="rId9" w:history="1">
        <w:r w:rsidR="00C24C0B" w:rsidRPr="00E72C44">
          <w:rPr>
            <w:rStyle w:val="Hyperlink"/>
            <w:rFonts w:ascii="Calibri" w:hAnsi="Calibri" w:cs="Calibri"/>
            <w:szCs w:val="24"/>
          </w:rPr>
          <w:t>http://www.msstate.edu/dept/audit/1312.html</w:t>
        </w:r>
      </w:hyperlink>
      <w:r w:rsidR="00C24C0B" w:rsidRPr="00E72C44">
        <w:rPr>
          <w:rFonts w:ascii="Calibri" w:hAnsi="Calibri" w:cs="Calibri"/>
          <w:szCs w:val="24"/>
        </w:rPr>
        <w:t xml:space="preserve"> and the summer school pay guidelines of the Office of the Provost and Executive </w:t>
      </w:r>
      <w:r w:rsidR="00FE40A2" w:rsidRPr="00E72C44">
        <w:rPr>
          <w:rFonts w:ascii="Calibri" w:hAnsi="Calibri" w:cs="Calibri"/>
          <w:szCs w:val="24"/>
        </w:rPr>
        <w:t>Vice President</w:t>
      </w:r>
      <w:r w:rsidR="00C24C0B" w:rsidRPr="00E72C44">
        <w:rPr>
          <w:rFonts w:ascii="Calibri" w:hAnsi="Calibri" w:cs="Calibri"/>
          <w:szCs w:val="24"/>
        </w:rPr>
        <w:t xml:space="preserve">. </w:t>
      </w:r>
    </w:p>
    <w:p w:rsidR="00DD1B4B" w:rsidRDefault="00DD1B4B" w:rsidP="00CD6B3D">
      <w:pPr>
        <w:pStyle w:val="Body1"/>
        <w:numPr>
          <w:ilvl w:val="0"/>
          <w:numId w:val="14"/>
        </w:numPr>
        <w:jc w:val="both"/>
        <w:rPr>
          <w:rFonts w:ascii="Calibri" w:hAnsi="Calibri" w:cs="Calibri"/>
          <w:szCs w:val="24"/>
        </w:rPr>
      </w:pPr>
      <w:r>
        <w:rPr>
          <w:rFonts w:ascii="Calibri" w:hAnsi="Calibri" w:cs="Calibri"/>
          <w:szCs w:val="24"/>
        </w:rPr>
        <w:t xml:space="preserve">Any instructional staff teaching a distance course </w:t>
      </w:r>
      <w:r w:rsidR="00C41671">
        <w:rPr>
          <w:rFonts w:ascii="Calibri" w:hAnsi="Calibri" w:cs="Calibri"/>
          <w:szCs w:val="24"/>
        </w:rPr>
        <w:t>must</w:t>
      </w:r>
      <w:r>
        <w:rPr>
          <w:rFonts w:ascii="Calibri" w:hAnsi="Calibri" w:cs="Calibri"/>
          <w:szCs w:val="24"/>
        </w:rPr>
        <w:t xml:space="preserve"> first complete training</w:t>
      </w:r>
      <w:r w:rsidR="00C41671">
        <w:rPr>
          <w:rFonts w:ascii="Calibri" w:hAnsi="Calibri" w:cs="Calibri"/>
          <w:szCs w:val="24"/>
        </w:rPr>
        <w:t xml:space="preserve"> in online instruction offered by</w:t>
      </w:r>
      <w:r>
        <w:rPr>
          <w:rFonts w:ascii="Calibri" w:hAnsi="Calibri" w:cs="Calibri"/>
          <w:szCs w:val="24"/>
        </w:rPr>
        <w:t xml:space="preserve"> the C</w:t>
      </w:r>
      <w:r w:rsidR="00AF7277">
        <w:rPr>
          <w:rFonts w:ascii="Calibri" w:hAnsi="Calibri" w:cs="Calibri"/>
          <w:szCs w:val="24"/>
        </w:rPr>
        <w:t xml:space="preserve">enter for </w:t>
      </w:r>
      <w:r>
        <w:rPr>
          <w:rFonts w:ascii="Calibri" w:hAnsi="Calibri" w:cs="Calibri"/>
          <w:szCs w:val="24"/>
        </w:rPr>
        <w:t>T</w:t>
      </w:r>
      <w:r w:rsidR="00AF7277">
        <w:rPr>
          <w:rFonts w:ascii="Calibri" w:hAnsi="Calibri" w:cs="Calibri"/>
          <w:szCs w:val="24"/>
        </w:rPr>
        <w:t xml:space="preserve">eaching and </w:t>
      </w:r>
      <w:r>
        <w:rPr>
          <w:rFonts w:ascii="Calibri" w:hAnsi="Calibri" w:cs="Calibri"/>
          <w:szCs w:val="24"/>
        </w:rPr>
        <w:t>L</w:t>
      </w:r>
      <w:r w:rsidR="00AF7277">
        <w:rPr>
          <w:rFonts w:ascii="Calibri" w:hAnsi="Calibri" w:cs="Calibri"/>
          <w:szCs w:val="24"/>
        </w:rPr>
        <w:t>earning</w:t>
      </w:r>
      <w:r w:rsidR="00C41671">
        <w:rPr>
          <w:rFonts w:ascii="Calibri" w:hAnsi="Calibri" w:cs="Calibri"/>
          <w:szCs w:val="24"/>
        </w:rPr>
        <w:t xml:space="preserve"> (CTL) or be verified by the CTL as being qualified to teach online courses. They must also</w:t>
      </w:r>
      <w:r>
        <w:rPr>
          <w:rFonts w:ascii="Calibri" w:hAnsi="Calibri" w:cs="Calibri"/>
          <w:szCs w:val="24"/>
        </w:rPr>
        <w:t xml:space="preserve"> have </w:t>
      </w:r>
      <w:r w:rsidR="00C41671">
        <w:rPr>
          <w:rFonts w:ascii="Calibri" w:hAnsi="Calibri" w:cs="Calibri"/>
          <w:szCs w:val="24"/>
        </w:rPr>
        <w:t xml:space="preserve">the training </w:t>
      </w:r>
      <w:r>
        <w:rPr>
          <w:rFonts w:ascii="Calibri" w:hAnsi="Calibri" w:cs="Calibri"/>
          <w:szCs w:val="24"/>
        </w:rPr>
        <w:t>completion</w:t>
      </w:r>
      <w:r w:rsidR="00C41671">
        <w:rPr>
          <w:rFonts w:ascii="Calibri" w:hAnsi="Calibri" w:cs="Calibri"/>
          <w:szCs w:val="24"/>
        </w:rPr>
        <w:t xml:space="preserve"> or certification</w:t>
      </w:r>
      <w:bookmarkStart w:id="0" w:name="_GoBack"/>
      <w:bookmarkEnd w:id="0"/>
      <w:r>
        <w:rPr>
          <w:rFonts w:ascii="Calibri" w:hAnsi="Calibri" w:cs="Calibri"/>
          <w:szCs w:val="24"/>
        </w:rPr>
        <w:t xml:space="preserve"> noted in their faculty credentials. </w:t>
      </w:r>
    </w:p>
    <w:p w:rsidR="00E22797" w:rsidRDefault="00E22797" w:rsidP="00CD6B3D">
      <w:pPr>
        <w:pStyle w:val="Body1"/>
        <w:jc w:val="both"/>
        <w:rPr>
          <w:rFonts w:ascii="Calibri" w:eastAsia="Times New Roman" w:hAnsi="Calibri" w:cs="Calibri"/>
          <w:b/>
          <w:color w:val="auto"/>
          <w:sz w:val="28"/>
          <w:szCs w:val="28"/>
        </w:rPr>
      </w:pPr>
    </w:p>
    <w:p w:rsidR="00C874B7" w:rsidRPr="00734E7C" w:rsidRDefault="00C874B7" w:rsidP="00C874B7">
      <w:pPr>
        <w:pStyle w:val="Body1"/>
        <w:keepNext/>
        <w:jc w:val="both"/>
        <w:rPr>
          <w:rFonts w:ascii="Calibri" w:hAnsi="Calibri" w:cs="Calibri"/>
          <w:b/>
          <w:color w:val="auto"/>
          <w:sz w:val="28"/>
          <w:szCs w:val="28"/>
        </w:rPr>
      </w:pPr>
      <w:r w:rsidRPr="00734E7C">
        <w:rPr>
          <w:rFonts w:ascii="Calibri" w:hAnsi="Calibri" w:cs="Calibri"/>
          <w:b/>
          <w:color w:val="auto"/>
          <w:sz w:val="28"/>
          <w:szCs w:val="28"/>
        </w:rPr>
        <w:t xml:space="preserve">Additional Notes Regarding Distance </w:t>
      </w:r>
      <w:r>
        <w:rPr>
          <w:rFonts w:ascii="Calibri" w:hAnsi="Calibri" w:cs="Calibri"/>
          <w:b/>
          <w:color w:val="auto"/>
          <w:sz w:val="28"/>
          <w:szCs w:val="28"/>
        </w:rPr>
        <w:t>Education:</w:t>
      </w:r>
    </w:p>
    <w:p w:rsidR="00F9607F" w:rsidRDefault="00F9607F" w:rsidP="00C874B7">
      <w:pPr>
        <w:pStyle w:val="Body1"/>
        <w:numPr>
          <w:ilvl w:val="0"/>
          <w:numId w:val="22"/>
        </w:numPr>
        <w:ind w:left="720"/>
        <w:jc w:val="both"/>
        <w:rPr>
          <w:rFonts w:ascii="Calibri" w:eastAsia="Times New Roman" w:hAnsi="Calibri" w:cs="Calibri"/>
          <w:color w:val="auto"/>
          <w:szCs w:val="24"/>
        </w:rPr>
      </w:pPr>
      <w:r>
        <w:rPr>
          <w:rFonts w:ascii="Calibri" w:eastAsia="Times New Roman" w:hAnsi="Calibri" w:cs="Calibri"/>
          <w:color w:val="auto"/>
          <w:szCs w:val="24"/>
        </w:rPr>
        <w:t>Each college must provide to the Provost and Executive Vice President an annual report of the usage of the distance revenues and a briefing on future directions of distance education.</w:t>
      </w:r>
    </w:p>
    <w:p w:rsidR="00C874B7" w:rsidRDefault="0024289E" w:rsidP="00C874B7">
      <w:pPr>
        <w:pStyle w:val="Body1"/>
        <w:numPr>
          <w:ilvl w:val="0"/>
          <w:numId w:val="22"/>
        </w:numPr>
        <w:ind w:left="720"/>
        <w:jc w:val="both"/>
        <w:rPr>
          <w:rFonts w:ascii="Calibri" w:eastAsia="Times New Roman" w:hAnsi="Calibri" w:cs="Calibri"/>
          <w:color w:val="auto"/>
          <w:szCs w:val="24"/>
        </w:rPr>
      </w:pPr>
      <w:r>
        <w:rPr>
          <w:rFonts w:ascii="Calibri" w:eastAsia="Times New Roman" w:hAnsi="Calibri" w:cs="Calibri"/>
          <w:color w:val="auto"/>
          <w:szCs w:val="24"/>
        </w:rPr>
        <w:t>Non-Campus 5</w:t>
      </w:r>
      <w:r w:rsidR="00235B1E">
        <w:rPr>
          <w:rFonts w:ascii="Calibri" w:eastAsia="Times New Roman" w:hAnsi="Calibri" w:cs="Calibri"/>
          <w:color w:val="auto"/>
          <w:szCs w:val="24"/>
        </w:rPr>
        <w:t xml:space="preserve"> students who choose to take a Campus 5 class incur the additional costs associated with Campus 5 classes</w:t>
      </w:r>
      <w:r>
        <w:rPr>
          <w:rFonts w:ascii="Calibri" w:eastAsia="Times New Roman" w:hAnsi="Calibri" w:cs="Calibri"/>
          <w:color w:val="auto"/>
          <w:szCs w:val="24"/>
        </w:rPr>
        <w:t>, and this revenue will be shared with the academic units as described above. However</w:t>
      </w:r>
      <w:r w:rsidR="00235B1E">
        <w:rPr>
          <w:rFonts w:ascii="Calibri" w:eastAsia="Times New Roman" w:hAnsi="Calibri" w:cs="Calibri"/>
          <w:color w:val="auto"/>
          <w:szCs w:val="24"/>
        </w:rPr>
        <w:t xml:space="preserve">, </w:t>
      </w:r>
      <w:r>
        <w:rPr>
          <w:rFonts w:ascii="Calibri" w:eastAsia="Times New Roman" w:hAnsi="Calibri" w:cs="Calibri"/>
          <w:color w:val="auto"/>
          <w:szCs w:val="24"/>
        </w:rPr>
        <w:t>non-Campus 5 students cannot be required or forced to take a Campus 5 class.</w:t>
      </w:r>
      <w:r w:rsidR="00C874B7">
        <w:rPr>
          <w:rFonts w:ascii="Calibri" w:eastAsia="Times New Roman" w:hAnsi="Calibri" w:cs="Calibri"/>
          <w:color w:val="auto"/>
          <w:szCs w:val="24"/>
        </w:rPr>
        <w:t xml:space="preserve"> </w:t>
      </w:r>
    </w:p>
    <w:p w:rsidR="00C874B7" w:rsidRDefault="00C874B7" w:rsidP="00C874B7">
      <w:pPr>
        <w:pStyle w:val="Body1"/>
        <w:numPr>
          <w:ilvl w:val="0"/>
          <w:numId w:val="22"/>
        </w:numPr>
        <w:ind w:left="720"/>
        <w:jc w:val="both"/>
        <w:rPr>
          <w:rFonts w:ascii="Calibri" w:eastAsia="Times New Roman" w:hAnsi="Calibri" w:cs="Calibri"/>
          <w:color w:val="auto"/>
          <w:szCs w:val="24"/>
        </w:rPr>
      </w:pPr>
      <w:r>
        <w:rPr>
          <w:rFonts w:ascii="Calibri" w:eastAsia="Times New Roman" w:hAnsi="Calibri" w:cs="Calibri"/>
          <w:color w:val="auto"/>
          <w:szCs w:val="24"/>
        </w:rPr>
        <w:t>Currently the university is also maintaining its policy of charging no non-resident tuition to Campus 5 students.</w:t>
      </w:r>
    </w:p>
    <w:p w:rsidR="00E5775D" w:rsidRDefault="00E5775D" w:rsidP="00C874B7">
      <w:pPr>
        <w:pStyle w:val="Body1"/>
        <w:numPr>
          <w:ilvl w:val="0"/>
          <w:numId w:val="22"/>
        </w:numPr>
        <w:ind w:left="720"/>
        <w:jc w:val="both"/>
        <w:rPr>
          <w:rFonts w:ascii="Calibri" w:eastAsia="Times New Roman" w:hAnsi="Calibri" w:cs="Calibri"/>
          <w:color w:val="auto"/>
          <w:szCs w:val="24"/>
        </w:rPr>
      </w:pPr>
      <w:r>
        <w:rPr>
          <w:rFonts w:ascii="Calibri" w:eastAsia="Times New Roman" w:hAnsi="Calibri" w:cs="Calibri"/>
          <w:color w:val="auto"/>
          <w:szCs w:val="24"/>
        </w:rPr>
        <w:t>Academic units must demonstrate equivalency between Campus 1 and Campus 5 offerings.</w:t>
      </w:r>
    </w:p>
    <w:p w:rsidR="00E5775D" w:rsidRDefault="00E5775D" w:rsidP="00C874B7">
      <w:pPr>
        <w:pStyle w:val="Body1"/>
        <w:numPr>
          <w:ilvl w:val="0"/>
          <w:numId w:val="22"/>
        </w:numPr>
        <w:ind w:left="720"/>
        <w:jc w:val="both"/>
        <w:rPr>
          <w:rFonts w:ascii="Calibri" w:eastAsia="Times New Roman" w:hAnsi="Calibri" w:cs="Calibri"/>
          <w:color w:val="auto"/>
          <w:szCs w:val="24"/>
        </w:rPr>
      </w:pPr>
      <w:r>
        <w:rPr>
          <w:rFonts w:ascii="Calibri" w:eastAsia="Times New Roman" w:hAnsi="Calibri" w:cs="Calibri"/>
          <w:color w:val="auto"/>
          <w:szCs w:val="24"/>
        </w:rPr>
        <w:t>Faculty must use best practices to ensure that the person performing the work in the course is the student who is officially enrolled in the course.</w:t>
      </w:r>
    </w:p>
    <w:p w:rsidR="00E22797" w:rsidRPr="004F24D1" w:rsidRDefault="00E5775D" w:rsidP="00CD6B3D">
      <w:pPr>
        <w:pStyle w:val="Body1"/>
        <w:numPr>
          <w:ilvl w:val="0"/>
          <w:numId w:val="22"/>
        </w:numPr>
        <w:ind w:left="720"/>
        <w:jc w:val="both"/>
        <w:rPr>
          <w:rFonts w:ascii="Calibri" w:eastAsia="Times New Roman" w:hAnsi="Calibri" w:cs="Calibri"/>
          <w:color w:val="auto"/>
          <w:szCs w:val="24"/>
        </w:rPr>
      </w:pPr>
      <w:r>
        <w:rPr>
          <w:rFonts w:ascii="Calibri" w:eastAsia="Times New Roman" w:hAnsi="Calibri" w:cs="Calibri"/>
          <w:color w:val="auto"/>
          <w:szCs w:val="24"/>
        </w:rPr>
        <w:t>Faculty must use best practices to ensure the highest standard of academic integrity in exams and other graded activities in an online course.</w:t>
      </w:r>
    </w:p>
    <w:sectPr w:rsidR="00E22797" w:rsidRPr="004F24D1" w:rsidSect="0043705F">
      <w:footerReference w:type="default" r:id="rId10"/>
      <w:pgSz w:w="12240" w:h="15840"/>
      <w:pgMar w:top="360" w:right="990" w:bottom="99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44" w:rsidRDefault="00E72C44" w:rsidP="00666706">
      <w:r>
        <w:separator/>
      </w:r>
    </w:p>
  </w:endnote>
  <w:endnote w:type="continuationSeparator" w:id="0">
    <w:p w:rsidR="00E72C44" w:rsidRDefault="00E72C44" w:rsidP="0066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44" w:rsidRDefault="00F9607F" w:rsidP="00F9607F">
    <w:pPr>
      <w:pStyle w:val="Footer"/>
      <w:tabs>
        <w:tab w:val="clear" w:pos="4680"/>
        <w:tab w:val="clear" w:pos="9360"/>
        <w:tab w:val="right" w:pos="10350"/>
      </w:tabs>
    </w:pPr>
    <w:r>
      <w:t>April 2014</w:t>
    </w:r>
    <w:r>
      <w:tab/>
    </w:r>
    <w:sdt>
      <w:sdtPr>
        <w:id w:val="1973935369"/>
        <w:docPartObj>
          <w:docPartGallery w:val="Page Numbers (Bottom of Page)"/>
          <w:docPartUnique/>
        </w:docPartObj>
      </w:sdtPr>
      <w:sdtEndPr>
        <w:rPr>
          <w:noProof/>
        </w:rPr>
      </w:sdtEndPr>
      <w:sdtContent>
        <w:r w:rsidR="00AF7277">
          <w:fldChar w:fldCharType="begin"/>
        </w:r>
        <w:r w:rsidR="00AF7277">
          <w:instrText xml:space="preserve"> PAGE   \* MERGEFORMAT </w:instrText>
        </w:r>
        <w:r w:rsidR="00AF7277">
          <w:fldChar w:fldCharType="separate"/>
        </w:r>
        <w:r w:rsidR="00C41671">
          <w:rPr>
            <w:noProof/>
          </w:rPr>
          <w:t>2</w:t>
        </w:r>
        <w:r w:rsidR="00AF7277">
          <w:rPr>
            <w:noProof/>
          </w:rPr>
          <w:fldChar w:fldCharType="end"/>
        </w:r>
      </w:sdtContent>
    </w:sdt>
  </w:p>
  <w:p w:rsidR="00E72C44" w:rsidRDefault="00E72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44" w:rsidRDefault="00E72C44" w:rsidP="00666706">
      <w:r>
        <w:separator/>
      </w:r>
    </w:p>
  </w:footnote>
  <w:footnote w:type="continuationSeparator" w:id="0">
    <w:p w:rsidR="00E72C44" w:rsidRDefault="00E72C44" w:rsidP="0066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7D0"/>
    <w:multiLevelType w:val="hybridMultilevel"/>
    <w:tmpl w:val="46E0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25B2"/>
    <w:multiLevelType w:val="hybridMultilevel"/>
    <w:tmpl w:val="AD9E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75D39"/>
    <w:multiLevelType w:val="hybridMultilevel"/>
    <w:tmpl w:val="B86A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04261"/>
    <w:multiLevelType w:val="hybridMultilevel"/>
    <w:tmpl w:val="81004D9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A7A47"/>
    <w:multiLevelType w:val="hybridMultilevel"/>
    <w:tmpl w:val="865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21EE2"/>
    <w:multiLevelType w:val="hybridMultilevel"/>
    <w:tmpl w:val="DF60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85EA8"/>
    <w:multiLevelType w:val="hybridMultilevel"/>
    <w:tmpl w:val="71DEA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D357F"/>
    <w:multiLevelType w:val="hybridMultilevel"/>
    <w:tmpl w:val="032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1481C"/>
    <w:multiLevelType w:val="hybridMultilevel"/>
    <w:tmpl w:val="242E5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C14288"/>
    <w:multiLevelType w:val="hybridMultilevel"/>
    <w:tmpl w:val="3E88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867C0"/>
    <w:multiLevelType w:val="hybridMultilevel"/>
    <w:tmpl w:val="53AA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56484"/>
    <w:multiLevelType w:val="hybridMultilevel"/>
    <w:tmpl w:val="B61E44D0"/>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662DED"/>
    <w:multiLevelType w:val="hybridMultilevel"/>
    <w:tmpl w:val="57A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862EA"/>
    <w:multiLevelType w:val="hybridMultilevel"/>
    <w:tmpl w:val="DBF8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B29AD"/>
    <w:multiLevelType w:val="hybridMultilevel"/>
    <w:tmpl w:val="3D02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D457C"/>
    <w:multiLevelType w:val="hybridMultilevel"/>
    <w:tmpl w:val="EA7A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D7B66"/>
    <w:multiLevelType w:val="hybridMultilevel"/>
    <w:tmpl w:val="9468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36F49"/>
    <w:multiLevelType w:val="hybridMultilevel"/>
    <w:tmpl w:val="3FE21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02FE1"/>
    <w:multiLevelType w:val="hybridMultilevel"/>
    <w:tmpl w:val="E93A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A1246"/>
    <w:multiLevelType w:val="hybridMultilevel"/>
    <w:tmpl w:val="8D1C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97F3B"/>
    <w:multiLevelType w:val="hybridMultilevel"/>
    <w:tmpl w:val="BE52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D09CF"/>
    <w:multiLevelType w:val="hybridMultilevel"/>
    <w:tmpl w:val="D940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5"/>
  </w:num>
  <w:num w:numId="4">
    <w:abstractNumId w:val="15"/>
  </w:num>
  <w:num w:numId="5">
    <w:abstractNumId w:val="13"/>
  </w:num>
  <w:num w:numId="6">
    <w:abstractNumId w:val="12"/>
  </w:num>
  <w:num w:numId="7">
    <w:abstractNumId w:val="0"/>
  </w:num>
  <w:num w:numId="8">
    <w:abstractNumId w:val="2"/>
  </w:num>
  <w:num w:numId="9">
    <w:abstractNumId w:val="16"/>
  </w:num>
  <w:num w:numId="10">
    <w:abstractNumId w:val="4"/>
  </w:num>
  <w:num w:numId="11">
    <w:abstractNumId w:val="7"/>
  </w:num>
  <w:num w:numId="12">
    <w:abstractNumId w:val="21"/>
  </w:num>
  <w:num w:numId="13">
    <w:abstractNumId w:val="10"/>
  </w:num>
  <w:num w:numId="14">
    <w:abstractNumId w:val="17"/>
  </w:num>
  <w:num w:numId="15">
    <w:abstractNumId w:val="1"/>
  </w:num>
  <w:num w:numId="16">
    <w:abstractNumId w:val="14"/>
  </w:num>
  <w:num w:numId="17">
    <w:abstractNumId w:val="20"/>
  </w:num>
  <w:num w:numId="18">
    <w:abstractNumId w:val="9"/>
  </w:num>
  <w:num w:numId="19">
    <w:abstractNumId w:val="3"/>
  </w:num>
  <w:num w:numId="20">
    <w:abstractNumId w:val="11"/>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36"/>
    <w:rsid w:val="00005BD2"/>
    <w:rsid w:val="00017EA5"/>
    <w:rsid w:val="0002191E"/>
    <w:rsid w:val="000478B3"/>
    <w:rsid w:val="00060222"/>
    <w:rsid w:val="00082A56"/>
    <w:rsid w:val="000C395C"/>
    <w:rsid w:val="000C3B88"/>
    <w:rsid w:val="000D0277"/>
    <w:rsid w:val="000F2295"/>
    <w:rsid w:val="001170F1"/>
    <w:rsid w:val="0013022B"/>
    <w:rsid w:val="001A3E03"/>
    <w:rsid w:val="001E76C1"/>
    <w:rsid w:val="001F0D7C"/>
    <w:rsid w:val="00202C1E"/>
    <w:rsid w:val="002141AD"/>
    <w:rsid w:val="00235B1E"/>
    <w:rsid w:val="00235FF1"/>
    <w:rsid w:val="0024289E"/>
    <w:rsid w:val="0028190F"/>
    <w:rsid w:val="00293759"/>
    <w:rsid w:val="002D399A"/>
    <w:rsid w:val="002E08D4"/>
    <w:rsid w:val="00304745"/>
    <w:rsid w:val="003176F1"/>
    <w:rsid w:val="00323169"/>
    <w:rsid w:val="00334EBC"/>
    <w:rsid w:val="003532F5"/>
    <w:rsid w:val="003721FD"/>
    <w:rsid w:val="003E4B89"/>
    <w:rsid w:val="003F145B"/>
    <w:rsid w:val="003F69EA"/>
    <w:rsid w:val="00402F57"/>
    <w:rsid w:val="00405BF7"/>
    <w:rsid w:val="0043705F"/>
    <w:rsid w:val="004433B8"/>
    <w:rsid w:val="0044520B"/>
    <w:rsid w:val="00460E5C"/>
    <w:rsid w:val="00484B11"/>
    <w:rsid w:val="004A5336"/>
    <w:rsid w:val="004B680C"/>
    <w:rsid w:val="004C546D"/>
    <w:rsid w:val="004E3F80"/>
    <w:rsid w:val="004E657D"/>
    <w:rsid w:val="004E6F8B"/>
    <w:rsid w:val="004F24D1"/>
    <w:rsid w:val="005010CC"/>
    <w:rsid w:val="00521ABE"/>
    <w:rsid w:val="00534E97"/>
    <w:rsid w:val="0055680D"/>
    <w:rsid w:val="00561158"/>
    <w:rsid w:val="005746C3"/>
    <w:rsid w:val="0058092C"/>
    <w:rsid w:val="00581BEC"/>
    <w:rsid w:val="0058326C"/>
    <w:rsid w:val="00604E28"/>
    <w:rsid w:val="006374D4"/>
    <w:rsid w:val="00642C36"/>
    <w:rsid w:val="00666706"/>
    <w:rsid w:val="00681415"/>
    <w:rsid w:val="00710A4D"/>
    <w:rsid w:val="00716532"/>
    <w:rsid w:val="00717E73"/>
    <w:rsid w:val="00734E7C"/>
    <w:rsid w:val="00752951"/>
    <w:rsid w:val="00776A0A"/>
    <w:rsid w:val="00782A54"/>
    <w:rsid w:val="007A38E9"/>
    <w:rsid w:val="007C4950"/>
    <w:rsid w:val="007D4D47"/>
    <w:rsid w:val="007E73F1"/>
    <w:rsid w:val="007F3C31"/>
    <w:rsid w:val="008137A4"/>
    <w:rsid w:val="00845C59"/>
    <w:rsid w:val="00856D0C"/>
    <w:rsid w:val="00867595"/>
    <w:rsid w:val="00890843"/>
    <w:rsid w:val="008A759C"/>
    <w:rsid w:val="008B001B"/>
    <w:rsid w:val="008E139F"/>
    <w:rsid w:val="008E6920"/>
    <w:rsid w:val="008F0FF1"/>
    <w:rsid w:val="008F7FAA"/>
    <w:rsid w:val="00915427"/>
    <w:rsid w:val="00916DB9"/>
    <w:rsid w:val="00953B0E"/>
    <w:rsid w:val="00962A5E"/>
    <w:rsid w:val="00965646"/>
    <w:rsid w:val="009726E3"/>
    <w:rsid w:val="009A7FDA"/>
    <w:rsid w:val="009C6E51"/>
    <w:rsid w:val="00A036D1"/>
    <w:rsid w:val="00A13A55"/>
    <w:rsid w:val="00A44397"/>
    <w:rsid w:val="00A4701A"/>
    <w:rsid w:val="00A56D13"/>
    <w:rsid w:val="00AC0F5D"/>
    <w:rsid w:val="00AE3F77"/>
    <w:rsid w:val="00AF1A8E"/>
    <w:rsid w:val="00AF7277"/>
    <w:rsid w:val="00B06213"/>
    <w:rsid w:val="00B378FC"/>
    <w:rsid w:val="00B55008"/>
    <w:rsid w:val="00B607C3"/>
    <w:rsid w:val="00B65CF2"/>
    <w:rsid w:val="00B73D34"/>
    <w:rsid w:val="00B83A08"/>
    <w:rsid w:val="00B844BF"/>
    <w:rsid w:val="00BC1190"/>
    <w:rsid w:val="00BD53E4"/>
    <w:rsid w:val="00BD6204"/>
    <w:rsid w:val="00BE19C9"/>
    <w:rsid w:val="00BF58EE"/>
    <w:rsid w:val="00C24C0B"/>
    <w:rsid w:val="00C41671"/>
    <w:rsid w:val="00C863FB"/>
    <w:rsid w:val="00C874B7"/>
    <w:rsid w:val="00CC63F8"/>
    <w:rsid w:val="00CD6B3D"/>
    <w:rsid w:val="00CE4220"/>
    <w:rsid w:val="00D00C48"/>
    <w:rsid w:val="00D14074"/>
    <w:rsid w:val="00D24991"/>
    <w:rsid w:val="00D331CD"/>
    <w:rsid w:val="00D5140B"/>
    <w:rsid w:val="00D70D94"/>
    <w:rsid w:val="00D73F90"/>
    <w:rsid w:val="00D7507D"/>
    <w:rsid w:val="00D9349E"/>
    <w:rsid w:val="00DC0739"/>
    <w:rsid w:val="00DC321C"/>
    <w:rsid w:val="00DC3F62"/>
    <w:rsid w:val="00DD1B4B"/>
    <w:rsid w:val="00DD755D"/>
    <w:rsid w:val="00E13E41"/>
    <w:rsid w:val="00E208A0"/>
    <w:rsid w:val="00E22797"/>
    <w:rsid w:val="00E35C68"/>
    <w:rsid w:val="00E5775D"/>
    <w:rsid w:val="00E72C44"/>
    <w:rsid w:val="00E75801"/>
    <w:rsid w:val="00E90E82"/>
    <w:rsid w:val="00EC0A10"/>
    <w:rsid w:val="00EE0AF3"/>
    <w:rsid w:val="00F014C4"/>
    <w:rsid w:val="00F12408"/>
    <w:rsid w:val="00F14AAB"/>
    <w:rsid w:val="00F25AEE"/>
    <w:rsid w:val="00F45095"/>
    <w:rsid w:val="00F52D3C"/>
    <w:rsid w:val="00F676AF"/>
    <w:rsid w:val="00F9079C"/>
    <w:rsid w:val="00F9272D"/>
    <w:rsid w:val="00F94CA1"/>
    <w:rsid w:val="00F9607F"/>
    <w:rsid w:val="00FA7D48"/>
    <w:rsid w:val="00FB0D4C"/>
    <w:rsid w:val="00FD3502"/>
    <w:rsid w:val="00FE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28C1-3AEE-41F4-83EF-2AF023F0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C36"/>
    <w:pPr>
      <w:spacing w:after="200" w:line="276" w:lineRule="auto"/>
      <w:ind w:left="720"/>
      <w:contextualSpacing/>
    </w:pPr>
  </w:style>
  <w:style w:type="table" w:styleId="TableGrid">
    <w:name w:val="Table Grid"/>
    <w:basedOn w:val="TableNormal"/>
    <w:uiPriority w:val="59"/>
    <w:rsid w:val="0064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642C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42C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3-Accent1">
    <w:name w:val="Medium Grid 3 Accent 1"/>
    <w:basedOn w:val="TableNormal"/>
    <w:uiPriority w:val="69"/>
    <w:rsid w:val="00642C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642C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642C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Grid-Accent5">
    <w:name w:val="Light Grid Accent 5"/>
    <w:basedOn w:val="TableNormal"/>
    <w:uiPriority w:val="62"/>
    <w:rsid w:val="00642C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666706"/>
    <w:pPr>
      <w:tabs>
        <w:tab w:val="center" w:pos="4680"/>
        <w:tab w:val="right" w:pos="9360"/>
      </w:tabs>
    </w:pPr>
  </w:style>
  <w:style w:type="character" w:customStyle="1" w:styleId="HeaderChar">
    <w:name w:val="Header Char"/>
    <w:basedOn w:val="DefaultParagraphFont"/>
    <w:link w:val="Header"/>
    <w:uiPriority w:val="99"/>
    <w:rsid w:val="00666706"/>
  </w:style>
  <w:style w:type="paragraph" w:styleId="Footer">
    <w:name w:val="footer"/>
    <w:basedOn w:val="Normal"/>
    <w:link w:val="FooterChar"/>
    <w:uiPriority w:val="99"/>
    <w:unhideWhenUsed/>
    <w:rsid w:val="00666706"/>
    <w:pPr>
      <w:tabs>
        <w:tab w:val="center" w:pos="4680"/>
        <w:tab w:val="right" w:pos="9360"/>
      </w:tabs>
    </w:pPr>
  </w:style>
  <w:style w:type="character" w:customStyle="1" w:styleId="FooterChar">
    <w:name w:val="Footer Char"/>
    <w:basedOn w:val="DefaultParagraphFont"/>
    <w:link w:val="Footer"/>
    <w:uiPriority w:val="99"/>
    <w:rsid w:val="00666706"/>
  </w:style>
  <w:style w:type="paragraph" w:styleId="BalloonText">
    <w:name w:val="Balloon Text"/>
    <w:basedOn w:val="Normal"/>
    <w:link w:val="BalloonTextChar"/>
    <w:uiPriority w:val="99"/>
    <w:semiHidden/>
    <w:unhideWhenUsed/>
    <w:rsid w:val="00666706"/>
    <w:rPr>
      <w:rFonts w:ascii="Tahoma" w:hAnsi="Tahoma" w:cs="Tahoma"/>
      <w:sz w:val="16"/>
      <w:szCs w:val="16"/>
    </w:rPr>
  </w:style>
  <w:style w:type="character" w:customStyle="1" w:styleId="BalloonTextChar">
    <w:name w:val="Balloon Text Char"/>
    <w:basedOn w:val="DefaultParagraphFont"/>
    <w:link w:val="BalloonText"/>
    <w:uiPriority w:val="99"/>
    <w:semiHidden/>
    <w:rsid w:val="00666706"/>
    <w:rPr>
      <w:rFonts w:ascii="Tahoma" w:hAnsi="Tahoma" w:cs="Tahoma"/>
      <w:sz w:val="16"/>
      <w:szCs w:val="16"/>
    </w:rPr>
  </w:style>
  <w:style w:type="paragraph" w:customStyle="1" w:styleId="Body1">
    <w:name w:val="Body 1"/>
    <w:rsid w:val="00BD6204"/>
    <w:rPr>
      <w:rFonts w:ascii="Helvetica" w:eastAsia="Arial Unicode MS" w:hAnsi="Helvetica" w:cs="Times New Roman"/>
      <w:color w:val="000000"/>
      <w:sz w:val="24"/>
      <w:szCs w:val="20"/>
    </w:rPr>
  </w:style>
  <w:style w:type="character" w:styleId="Hyperlink">
    <w:name w:val="Hyperlink"/>
    <w:basedOn w:val="DefaultParagraphFont"/>
    <w:uiPriority w:val="99"/>
    <w:unhideWhenUsed/>
    <w:rsid w:val="00405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ance.ms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state.edu/dept/audit/13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7658-E9A1-4435-A850-8712F903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awp1</dc:creator>
  <cp:lastModifiedBy>jeh32</cp:lastModifiedBy>
  <cp:revision>2</cp:revision>
  <cp:lastPrinted>2012-03-09T21:03:00Z</cp:lastPrinted>
  <dcterms:created xsi:type="dcterms:W3CDTF">2015-10-02T19:49:00Z</dcterms:created>
  <dcterms:modified xsi:type="dcterms:W3CDTF">2015-10-02T19:49:00Z</dcterms:modified>
</cp:coreProperties>
</file>